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353AB" w14:textId="77777777" w:rsidR="00572581" w:rsidRPr="00344F18" w:rsidRDefault="00572581" w:rsidP="00344F18">
      <w:pPr>
        <w:pStyle w:val="GSTitle"/>
        <w:spacing w:line="276" w:lineRule="auto"/>
        <w:jc w:val="left"/>
        <w:rPr>
          <w:sz w:val="32"/>
          <w:szCs w:val="44"/>
        </w:rPr>
      </w:pPr>
      <w:r w:rsidRPr="00344F18">
        <w:rPr>
          <w:sz w:val="32"/>
          <w:szCs w:val="44"/>
        </w:rPr>
        <w:t>ANNUAL ALLOCATION REVIEW OF NEW FINAL DEMAND SITES INCLUDING THOSE ALLOCATED BASED ON NO RECORDED DATA</w:t>
      </w:r>
    </w:p>
    <w:p w14:paraId="4407FFC7" w14:textId="77777777" w:rsidR="00572581" w:rsidRPr="00344F18" w:rsidRDefault="00572581" w:rsidP="00344F18">
      <w:pPr>
        <w:pStyle w:val="GSHeading1withnumb"/>
        <w:numPr>
          <w:ilvl w:val="0"/>
          <w:numId w:val="12"/>
        </w:numPr>
        <w:pBdr>
          <w:bottom w:val="single" w:sz="4" w:space="5" w:color="CEE0CC"/>
        </w:pBdr>
        <w:spacing w:line="240" w:lineRule="auto"/>
        <w:rPr>
          <w:rFonts w:eastAsiaTheme="majorEastAsia" w:cstheme="majorBidi"/>
          <w:bCs/>
          <w:color w:val="388E63"/>
          <w:spacing w:val="-10"/>
          <w:kern w:val="28"/>
          <w:sz w:val="28"/>
          <w:szCs w:val="40"/>
        </w:rPr>
      </w:pPr>
      <w:r w:rsidRPr="00344F18">
        <w:rPr>
          <w:rFonts w:eastAsiaTheme="majorEastAsia" w:cstheme="majorBidi"/>
          <w:bCs/>
          <w:color w:val="388E63"/>
          <w:spacing w:val="-10"/>
          <w:kern w:val="28"/>
          <w:sz w:val="28"/>
          <w:szCs w:val="40"/>
        </w:rPr>
        <w:t>For DNOs/IDNOs:</w:t>
      </w:r>
    </w:p>
    <w:p w14:paraId="20203D4B" w14:textId="5C3443AB" w:rsidR="00D95C14" w:rsidRDefault="00D95C14" w:rsidP="00543289">
      <w:pPr>
        <w:pStyle w:val="GSBodyParawithnumb"/>
      </w:pPr>
      <w:r>
        <w:t>In accordance with Paragraph 6.10 of Schedule 32, o</w:t>
      </w:r>
      <w:r w:rsidR="00344F18" w:rsidRPr="00344F18">
        <w:t>n or before 15 September you need to have provided each Supplier Party (i.e., you should email all Supplier Contract Managers) with a list of each and every MPAN associated with a Non-Domestic Premises that is connected to your Distribution System</w:t>
      </w:r>
      <w:r>
        <w:t>(s)</w:t>
      </w:r>
      <w:r w:rsidR="00344F18" w:rsidRPr="00344F18">
        <w:t xml:space="preserve"> that has been reallocated to a New Charging Band as a result of the Annual Allocation Review</w:t>
      </w:r>
      <w:r>
        <w:t xml:space="preserve">. In doing so, </w:t>
      </w:r>
      <w:r w:rsidR="00235F2E">
        <w:t xml:space="preserve">for each applicable site, </w:t>
      </w:r>
      <w:r>
        <w:t>you need to provide all Supplier Parties with the same data, being:</w:t>
      </w:r>
    </w:p>
    <w:p w14:paraId="1ADA3660" w14:textId="16461329" w:rsidR="00543289" w:rsidRDefault="00543289" w:rsidP="00D26749">
      <w:pPr>
        <w:pStyle w:val="GSBodyParaBullet"/>
        <w:spacing w:line="240" w:lineRule="auto"/>
      </w:pPr>
      <w:r>
        <w:t>the MPAN</w:t>
      </w:r>
      <w:r w:rsidR="00832EF0">
        <w:t>;</w:t>
      </w:r>
      <w:r>
        <w:t xml:space="preserve"> </w:t>
      </w:r>
    </w:p>
    <w:p w14:paraId="294A2AA2" w14:textId="5D1BE734" w:rsidR="00543289" w:rsidRDefault="00543289" w:rsidP="00D26749">
      <w:pPr>
        <w:pStyle w:val="GSBodyParaBullet"/>
        <w:spacing w:line="240" w:lineRule="auto"/>
      </w:pPr>
      <w:r>
        <w:t>t</w:t>
      </w:r>
      <w:r w:rsidR="00344F18" w:rsidRPr="00344F18">
        <w:t>he Old Charging Band</w:t>
      </w:r>
      <w:r>
        <w:t xml:space="preserve"> that the </w:t>
      </w:r>
      <w:r w:rsidR="00235F2E">
        <w:t xml:space="preserve">site is currently </w:t>
      </w:r>
      <w:r>
        <w:t xml:space="preserve">allocated to; </w:t>
      </w:r>
    </w:p>
    <w:p w14:paraId="2F27A32B" w14:textId="60883BD5" w:rsidR="00543289" w:rsidRDefault="00543289" w:rsidP="00D26749">
      <w:pPr>
        <w:pStyle w:val="GSBodyParaBullet"/>
        <w:spacing w:line="240" w:lineRule="auto"/>
      </w:pPr>
      <w:r>
        <w:t xml:space="preserve">the </w:t>
      </w:r>
      <w:r w:rsidR="00344F18" w:rsidRPr="00344F18">
        <w:t>New Charging Band</w:t>
      </w:r>
      <w:r>
        <w:t xml:space="preserve"> that the site </w:t>
      </w:r>
      <w:r w:rsidR="00235F2E">
        <w:t>will</w:t>
      </w:r>
      <w:r>
        <w:t xml:space="preserve"> b</w:t>
      </w:r>
      <w:r w:rsidR="00235F2E">
        <w:t xml:space="preserve">e </w:t>
      </w:r>
      <w:r>
        <w:t xml:space="preserve">reallocated to; and </w:t>
      </w:r>
    </w:p>
    <w:p w14:paraId="09F946A3" w14:textId="04459EAD" w:rsidR="00D95C14" w:rsidRPr="00D95C14" w:rsidRDefault="00832EF0" w:rsidP="00D26749">
      <w:pPr>
        <w:pStyle w:val="GSBodyParaBullet"/>
        <w:spacing w:line="240" w:lineRule="auto"/>
      </w:pPr>
      <w:r w:rsidRPr="00832EF0">
        <w:t xml:space="preserve">for </w:t>
      </w:r>
      <w:proofErr w:type="spellStart"/>
      <w:r w:rsidRPr="00832EF0">
        <w:t>LVnoMIC</w:t>
      </w:r>
      <w:proofErr w:type="spellEnd"/>
      <w:r w:rsidRPr="00832EF0">
        <w:t>, LV MIC and HV</w:t>
      </w:r>
      <w:r>
        <w:t xml:space="preserve">, </w:t>
      </w:r>
      <w:r w:rsidR="00344F18" w:rsidRPr="00344F18">
        <w:t>the</w:t>
      </w:r>
      <w:r w:rsidR="00543289">
        <w:t xml:space="preserve"> </w:t>
      </w:r>
      <w:r w:rsidR="00344F18" w:rsidRPr="00344F18">
        <w:t>LLFC I</w:t>
      </w:r>
      <w:r w:rsidR="00270065">
        <w:t>D/DUoS Tariff ID</w:t>
      </w:r>
      <w:r w:rsidR="00D95C14" w:rsidRPr="00D95C14">
        <w:t xml:space="preserve"> which </w:t>
      </w:r>
      <w:r w:rsidR="00543289">
        <w:t>will apply to</w:t>
      </w:r>
      <w:r w:rsidR="00235F2E">
        <w:t xml:space="preserve"> the site</w:t>
      </w:r>
      <w:r w:rsidR="00543289">
        <w:t xml:space="preserve"> </w:t>
      </w:r>
      <w:r w:rsidR="00235F2E">
        <w:t xml:space="preserve">following the site being </w:t>
      </w:r>
      <w:r w:rsidR="00D95C14" w:rsidRPr="00D95C14">
        <w:t>reallocated.</w:t>
      </w:r>
    </w:p>
    <w:p w14:paraId="63708854" w14:textId="28E47269" w:rsidR="00572581" w:rsidRPr="00572581" w:rsidRDefault="00572581" w:rsidP="00543289">
      <w:pPr>
        <w:pStyle w:val="GSBodyParawithnumb"/>
      </w:pPr>
      <w:r w:rsidRPr="00572581">
        <w:t>To ensure consistency, it is recommended that the data is provided to suppliers using an Excel workbook, which should contain the fields as per the below screenshot for each of the following groupings on separate tabs (as per the screenshot below):</w:t>
      </w:r>
    </w:p>
    <w:p w14:paraId="6F2AF713" w14:textId="7DE4F8C2" w:rsidR="00572581" w:rsidRPr="00572581" w:rsidRDefault="00572581" w:rsidP="00D26749">
      <w:pPr>
        <w:pStyle w:val="GSBodyParaBullet"/>
        <w:spacing w:line="240" w:lineRule="auto"/>
      </w:pPr>
      <w:proofErr w:type="spellStart"/>
      <w:r w:rsidRPr="00572581">
        <w:t>LVnoMIC</w:t>
      </w:r>
      <w:proofErr w:type="spellEnd"/>
      <w:r w:rsidR="00270065">
        <w:t>;</w:t>
      </w:r>
    </w:p>
    <w:p w14:paraId="5E558EB5" w14:textId="5428273B" w:rsidR="00572581" w:rsidRPr="00572581" w:rsidRDefault="00572581" w:rsidP="00D26749">
      <w:pPr>
        <w:pStyle w:val="GSBodyParaBullet"/>
        <w:spacing w:line="240" w:lineRule="auto"/>
      </w:pPr>
      <w:r w:rsidRPr="00572581">
        <w:t>LV</w:t>
      </w:r>
      <w:r w:rsidR="0072027A">
        <w:t xml:space="preserve"> </w:t>
      </w:r>
      <w:r w:rsidRPr="00572581">
        <w:t>MIC</w:t>
      </w:r>
      <w:r w:rsidR="00270065">
        <w:t>;</w:t>
      </w:r>
    </w:p>
    <w:p w14:paraId="1350AADF" w14:textId="7A6AF1A1" w:rsidR="00572581" w:rsidRPr="00572581" w:rsidRDefault="00572581" w:rsidP="00D26749">
      <w:pPr>
        <w:pStyle w:val="GSBodyParaBullet"/>
        <w:spacing w:line="240" w:lineRule="auto"/>
      </w:pPr>
      <w:r w:rsidRPr="00572581">
        <w:t>HV</w:t>
      </w:r>
      <w:r w:rsidR="00270065">
        <w:t>; and</w:t>
      </w:r>
    </w:p>
    <w:p w14:paraId="18B7DCD2" w14:textId="73C4B8ED" w:rsidR="00572581" w:rsidRPr="00572581" w:rsidRDefault="00572581" w:rsidP="00D26749">
      <w:pPr>
        <w:pStyle w:val="GSBodyParaBullet"/>
        <w:spacing w:line="240" w:lineRule="auto"/>
      </w:pPr>
      <w:r w:rsidRPr="00572581">
        <w:t>EHV</w:t>
      </w:r>
      <w:r w:rsidR="00270065">
        <w:t>.</w:t>
      </w:r>
    </w:p>
    <w:p w14:paraId="609F136B" w14:textId="499FC331" w:rsidR="00572581" w:rsidRPr="00572581" w:rsidRDefault="0072027A" w:rsidP="00572581">
      <w:pPr>
        <w:rPr>
          <w:i/>
          <w:iCs/>
        </w:rPr>
      </w:pPr>
      <w:r w:rsidRPr="0072027A">
        <w:rPr>
          <w:i/>
          <w:iCs/>
          <w:noProof/>
        </w:rPr>
        <w:drawing>
          <wp:inline distT="0" distB="0" distL="0" distR="0" wp14:anchorId="11100CFD" wp14:editId="5A2F8D68">
            <wp:extent cx="6188710" cy="2832100"/>
            <wp:effectExtent l="0" t="0" r="2540" b="6350"/>
            <wp:docPr id="1362942751" name="Picture 1" descr="A screenshot of a spreadshee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942751" name="Picture 1" descr="A screenshot of a spreadsheet&#10;&#10;AI-generated content may be incorrect."/>
                    <pic:cNvPicPr/>
                  </pic:nvPicPr>
                  <pic:blipFill>
                    <a:blip r:embed="rId7"/>
                    <a:stretch>
                      <a:fillRect/>
                    </a:stretch>
                  </pic:blipFill>
                  <pic:spPr>
                    <a:xfrm>
                      <a:off x="0" y="0"/>
                      <a:ext cx="6188710" cy="2832100"/>
                    </a:xfrm>
                    <a:prstGeom prst="rect">
                      <a:avLst/>
                    </a:prstGeom>
                  </pic:spPr>
                </pic:pic>
              </a:graphicData>
            </a:graphic>
          </wp:inline>
        </w:drawing>
      </w:r>
    </w:p>
    <w:p w14:paraId="0B1BA6AC" w14:textId="6E269E61" w:rsidR="00572581" w:rsidRPr="00344F18" w:rsidRDefault="00572581" w:rsidP="00235F2E">
      <w:pPr>
        <w:pStyle w:val="GSBodyParawithnumb"/>
        <w:rPr>
          <w:i/>
          <w:iCs/>
        </w:rPr>
      </w:pPr>
      <w:r w:rsidRPr="00572581">
        <w:t>It should be noted that you only need to review any Final Demand Sites allocated to a charging band in accordance with Paragraph 4.1(b)(ii), Paragraph 4.2(a)(iii), Paragraph 4.2(b)(ii) and Paragraph 4.2(b)(iii). Please see text highlighted in yellow</w:t>
      </w:r>
      <w:r w:rsidR="00344F18">
        <w:t xml:space="preserve"> on the second page</w:t>
      </w:r>
      <w:r w:rsidRPr="00572581">
        <w:t xml:space="preserve"> for the applicable text from Schedule 32. </w:t>
      </w:r>
    </w:p>
    <w:p w14:paraId="11B612E3" w14:textId="6C8CBC74" w:rsidR="00344F18" w:rsidRDefault="00344F18" w:rsidP="00235F2E">
      <w:pPr>
        <w:pStyle w:val="GSBodyParawithnumb"/>
      </w:pPr>
      <w:r w:rsidRPr="00344F18">
        <w:lastRenderedPageBreak/>
        <w:t>For the full requirements on the Annual Allocation Review, please refer to Paragraphs 6.5 to 6.1</w:t>
      </w:r>
      <w:r w:rsidR="00235F2E">
        <w:t>2</w:t>
      </w:r>
      <w:r w:rsidRPr="00344F18">
        <w:t xml:space="preserve"> of Schedule 32</w:t>
      </w:r>
      <w:r w:rsidR="009A3C78">
        <w:t>.</w:t>
      </w:r>
    </w:p>
    <w:tbl>
      <w:tblPr>
        <w:tblStyle w:val="GSTable"/>
        <w:tblW w:w="5000" w:type="pct"/>
        <w:tblLook w:val="04A0" w:firstRow="1" w:lastRow="0" w:firstColumn="1" w:lastColumn="0" w:noHBand="0" w:noVBand="1"/>
      </w:tblPr>
      <w:tblGrid>
        <w:gridCol w:w="3669"/>
        <w:gridCol w:w="6067"/>
      </w:tblGrid>
      <w:tr w:rsidR="00572581" w:rsidRPr="00270065" w14:paraId="23C56EF2" w14:textId="77777777" w:rsidTr="00344F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4" w:type="pct"/>
            <w:hideMark/>
          </w:tcPr>
          <w:p w14:paraId="2A25BCE3" w14:textId="77777777" w:rsidR="00572581" w:rsidRPr="00270065" w:rsidRDefault="00572581" w:rsidP="00344F18">
            <w:pPr>
              <w:pStyle w:val="GSTableHeading"/>
              <w:rPr>
                <w:sz w:val="22"/>
              </w:rPr>
            </w:pPr>
            <w:r w:rsidRPr="00270065">
              <w:rPr>
                <w:b/>
                <w:sz w:val="22"/>
              </w:rPr>
              <w:t>Site Category</w:t>
            </w:r>
          </w:p>
        </w:tc>
        <w:tc>
          <w:tcPr>
            <w:tcW w:w="3116" w:type="pct"/>
            <w:hideMark/>
          </w:tcPr>
          <w:p w14:paraId="04CC116E" w14:textId="77777777" w:rsidR="00572581" w:rsidRPr="00270065" w:rsidRDefault="00572581" w:rsidP="00344F18">
            <w:pPr>
              <w:pStyle w:val="GSTableHeading"/>
              <w:cnfStyle w:val="100000000000" w:firstRow="1" w:lastRow="0" w:firstColumn="0" w:lastColumn="0" w:oddVBand="0" w:evenVBand="0" w:oddHBand="0" w:evenHBand="0" w:firstRowFirstColumn="0" w:firstRowLastColumn="0" w:lastRowFirstColumn="0" w:lastRowLastColumn="0"/>
              <w:rPr>
                <w:sz w:val="22"/>
              </w:rPr>
            </w:pPr>
            <w:r w:rsidRPr="00270065">
              <w:rPr>
                <w:b/>
                <w:sz w:val="22"/>
              </w:rPr>
              <w:t>Relevant text</w:t>
            </w:r>
          </w:p>
        </w:tc>
      </w:tr>
      <w:tr w:rsidR="00572581" w:rsidRPr="00270065" w14:paraId="27BA1EED" w14:textId="77777777" w:rsidTr="00344F18">
        <w:tc>
          <w:tcPr>
            <w:cnfStyle w:val="001000000000" w:firstRow="0" w:lastRow="0" w:firstColumn="1" w:lastColumn="0" w:oddVBand="0" w:evenVBand="0" w:oddHBand="0" w:evenHBand="0" w:firstRowFirstColumn="0" w:firstRowLastColumn="0" w:lastRowFirstColumn="0" w:lastRowLastColumn="0"/>
            <w:tcW w:w="1884" w:type="pct"/>
            <w:hideMark/>
          </w:tcPr>
          <w:p w14:paraId="683E066A" w14:textId="77777777" w:rsidR="00572581" w:rsidRPr="00270065" w:rsidRDefault="00572581" w:rsidP="00344F18">
            <w:pPr>
              <w:spacing w:after="160" w:line="276" w:lineRule="auto"/>
              <w:jc w:val="left"/>
              <w:rPr>
                <w:sz w:val="22"/>
              </w:rPr>
            </w:pPr>
            <w:r w:rsidRPr="00270065">
              <w:rPr>
                <w:bCs/>
                <w:sz w:val="22"/>
                <w:u w:val="single"/>
              </w:rPr>
              <w:t>Category 1 – EHV, HV and LV with MIC</w:t>
            </w:r>
          </w:p>
          <w:p w14:paraId="2E88FBCE" w14:textId="77777777" w:rsidR="00572581" w:rsidRPr="00270065" w:rsidRDefault="00572581" w:rsidP="00344F18">
            <w:pPr>
              <w:spacing w:after="160" w:line="276" w:lineRule="auto"/>
              <w:jc w:val="left"/>
              <w:rPr>
                <w:sz w:val="22"/>
              </w:rPr>
            </w:pPr>
            <w:r w:rsidRPr="00270065">
              <w:rPr>
                <w:sz w:val="22"/>
              </w:rPr>
              <w:t>(i.e., Designated Properties connected at EHV, HV and LV, </w:t>
            </w:r>
            <w:r w:rsidRPr="00270065">
              <w:rPr>
                <w:bCs/>
                <w:sz w:val="22"/>
                <w:u w:val="single"/>
              </w:rPr>
              <w:t>with</w:t>
            </w:r>
            <w:r w:rsidRPr="00270065">
              <w:rPr>
                <w:sz w:val="22"/>
              </w:rPr>
              <w:t> a Maximum Import Capacity as the basis for their current Use of System Charge)</w:t>
            </w:r>
          </w:p>
        </w:tc>
        <w:tc>
          <w:tcPr>
            <w:tcW w:w="3116" w:type="pct"/>
            <w:hideMark/>
          </w:tcPr>
          <w:p w14:paraId="5830EBDF" w14:textId="77777777" w:rsidR="00572581" w:rsidRPr="00270065" w:rsidRDefault="00572581" w:rsidP="00344F18">
            <w:pPr>
              <w:spacing w:after="160" w:line="276"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270065">
              <w:rPr>
                <w:rFonts w:asciiTheme="minorHAnsi" w:hAnsiTheme="minorHAnsi"/>
              </w:rPr>
              <w:t>4.1 For Final Demand Sites within the groups identified in Paragraph 1.5(a), 1.5(b) or 1.5(c), each DNO/IDNO Party shall allocate its Final Demand Sites to the relevant charging band based on the following criteria (subject to Paragraph 4.2A):</w:t>
            </w:r>
          </w:p>
          <w:p w14:paraId="67D5A246" w14:textId="77777777" w:rsidR="00572581" w:rsidRPr="00270065" w:rsidRDefault="00572581" w:rsidP="00344F18">
            <w:pPr>
              <w:numPr>
                <w:ilvl w:val="1"/>
                <w:numId w:val="14"/>
              </w:numPr>
              <w:tabs>
                <w:tab w:val="clear" w:pos="1440"/>
                <w:tab w:val="num" w:pos="774"/>
              </w:tabs>
              <w:spacing w:after="160" w:line="276" w:lineRule="auto"/>
              <w:ind w:left="774" w:hanging="425"/>
              <w:jc w:val="lef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270065">
              <w:rPr>
                <w:rFonts w:asciiTheme="minorHAnsi" w:hAnsiTheme="minorHAnsi"/>
              </w:rPr>
              <w:t>if 24 months of data is available, the average Maximum Import Capacity over that period; or if not available</w:t>
            </w:r>
          </w:p>
          <w:p w14:paraId="09BF5696" w14:textId="77777777" w:rsidR="00572581" w:rsidRPr="00270065" w:rsidRDefault="00572581" w:rsidP="00344F18">
            <w:pPr>
              <w:numPr>
                <w:ilvl w:val="1"/>
                <w:numId w:val="14"/>
              </w:numPr>
              <w:tabs>
                <w:tab w:val="clear" w:pos="1440"/>
                <w:tab w:val="num" w:pos="774"/>
              </w:tabs>
              <w:spacing w:after="160" w:line="276" w:lineRule="auto"/>
              <w:ind w:left="774" w:hanging="425"/>
              <w:jc w:val="lef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270065">
              <w:rPr>
                <w:rFonts w:asciiTheme="minorHAnsi" w:hAnsiTheme="minorHAnsi"/>
              </w:rPr>
              <w:t>allocation to a charging band will be based on the following criteria:</w:t>
            </w:r>
          </w:p>
          <w:p w14:paraId="0C697556" w14:textId="77777777" w:rsidR="00572581" w:rsidRPr="00270065" w:rsidRDefault="00572581" w:rsidP="00344F18">
            <w:pPr>
              <w:numPr>
                <w:ilvl w:val="2"/>
                <w:numId w:val="14"/>
              </w:numPr>
              <w:tabs>
                <w:tab w:val="clear" w:pos="2160"/>
              </w:tabs>
              <w:spacing w:after="160" w:line="276" w:lineRule="auto"/>
              <w:ind w:left="1199" w:hanging="284"/>
              <w:jc w:val="lef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270065">
              <w:rPr>
                <w:rFonts w:asciiTheme="minorHAnsi" w:hAnsiTheme="minorHAnsi"/>
              </w:rPr>
              <w:t>the average of Maximum Import Capacity over that period for which data is available; or</w:t>
            </w:r>
          </w:p>
          <w:p w14:paraId="44C72A9A" w14:textId="77777777" w:rsidR="00572581" w:rsidRPr="00270065" w:rsidRDefault="00572581" w:rsidP="00344F18">
            <w:pPr>
              <w:numPr>
                <w:ilvl w:val="2"/>
                <w:numId w:val="14"/>
              </w:numPr>
              <w:tabs>
                <w:tab w:val="clear" w:pos="2160"/>
              </w:tabs>
              <w:spacing w:after="160" w:line="276" w:lineRule="auto"/>
              <w:ind w:left="1199" w:hanging="284"/>
              <w:jc w:val="lef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270065">
              <w:rPr>
                <w:rFonts w:asciiTheme="minorHAnsi" w:hAnsiTheme="minorHAnsi"/>
                <w:highlight w:val="yellow"/>
              </w:rPr>
              <w:t>if no such data is available, other available information that is appropriate for a typical profile of a similar site to best estimate the expected demand of the Final Demand Site.</w:t>
            </w:r>
          </w:p>
        </w:tc>
      </w:tr>
      <w:tr w:rsidR="00572581" w:rsidRPr="00270065" w14:paraId="155AF790" w14:textId="77777777" w:rsidTr="00344F18">
        <w:tc>
          <w:tcPr>
            <w:cnfStyle w:val="001000000000" w:firstRow="0" w:lastRow="0" w:firstColumn="1" w:lastColumn="0" w:oddVBand="0" w:evenVBand="0" w:oddHBand="0" w:evenHBand="0" w:firstRowFirstColumn="0" w:firstRowLastColumn="0" w:lastRowFirstColumn="0" w:lastRowLastColumn="0"/>
            <w:tcW w:w="1884" w:type="pct"/>
            <w:hideMark/>
          </w:tcPr>
          <w:p w14:paraId="2A4140CB" w14:textId="77777777" w:rsidR="00572581" w:rsidRPr="00270065" w:rsidRDefault="00572581" w:rsidP="00344F18">
            <w:pPr>
              <w:spacing w:after="160" w:line="276" w:lineRule="auto"/>
              <w:jc w:val="left"/>
              <w:rPr>
                <w:sz w:val="22"/>
              </w:rPr>
            </w:pPr>
            <w:r w:rsidRPr="00270065">
              <w:rPr>
                <w:bCs/>
                <w:sz w:val="22"/>
                <w:u w:val="single"/>
              </w:rPr>
              <w:t>Category 2 –LV with no MIC</w:t>
            </w:r>
          </w:p>
          <w:p w14:paraId="245F654B" w14:textId="77777777" w:rsidR="00572581" w:rsidRPr="00270065" w:rsidRDefault="00572581" w:rsidP="00344F18">
            <w:pPr>
              <w:spacing w:after="160" w:line="276" w:lineRule="auto"/>
              <w:jc w:val="left"/>
              <w:rPr>
                <w:sz w:val="22"/>
              </w:rPr>
            </w:pPr>
            <w:r w:rsidRPr="00270065">
              <w:rPr>
                <w:sz w:val="22"/>
              </w:rPr>
              <w:t>(i.e., Designated Properties connected at LV, </w:t>
            </w:r>
            <w:r w:rsidRPr="00270065">
              <w:rPr>
                <w:bCs/>
                <w:sz w:val="22"/>
                <w:u w:val="single"/>
              </w:rPr>
              <w:t>without</w:t>
            </w:r>
            <w:r w:rsidRPr="00270065">
              <w:rPr>
                <w:sz w:val="22"/>
              </w:rPr>
              <w:t> a Maximum Import Capacity as the basis for their current Use of System Charges)</w:t>
            </w:r>
          </w:p>
        </w:tc>
        <w:tc>
          <w:tcPr>
            <w:tcW w:w="3116" w:type="pct"/>
            <w:hideMark/>
          </w:tcPr>
          <w:p w14:paraId="7ABDB4E6" w14:textId="77777777" w:rsidR="00572581" w:rsidRPr="00270065" w:rsidRDefault="00572581" w:rsidP="00344F18">
            <w:pPr>
              <w:spacing w:after="160" w:line="276"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270065">
              <w:rPr>
                <w:rFonts w:asciiTheme="minorHAnsi" w:hAnsiTheme="minorHAnsi"/>
              </w:rPr>
              <w:t>4.2 For Final Demand Sites within the group identified in Paragraph 1.5 (d), each DNO/IDNO Party shall allocate its Final Demand Sites to the relevant charging band based on the following criteria (subject to Paragraph 4.2A):</w:t>
            </w:r>
          </w:p>
          <w:p w14:paraId="5AD1E6C5" w14:textId="77777777" w:rsidR="00572581" w:rsidRPr="00270065" w:rsidRDefault="00572581" w:rsidP="00344F18">
            <w:pPr>
              <w:numPr>
                <w:ilvl w:val="1"/>
                <w:numId w:val="17"/>
              </w:numPr>
              <w:tabs>
                <w:tab w:val="clear" w:pos="1440"/>
              </w:tabs>
              <w:spacing w:after="160" w:line="276" w:lineRule="auto"/>
              <w:ind w:left="774" w:hanging="425"/>
              <w:jc w:val="lef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270065">
              <w:rPr>
                <w:rFonts w:asciiTheme="minorHAnsi" w:hAnsiTheme="minorHAnsi"/>
              </w:rPr>
              <w:t>for a Final Demand Site that is half hourly settled:</w:t>
            </w:r>
          </w:p>
          <w:p w14:paraId="418F004A" w14:textId="77777777" w:rsidR="00572581" w:rsidRPr="00270065" w:rsidRDefault="00572581" w:rsidP="00344F18">
            <w:pPr>
              <w:numPr>
                <w:ilvl w:val="2"/>
                <w:numId w:val="15"/>
              </w:numPr>
              <w:tabs>
                <w:tab w:val="clear" w:pos="2160"/>
              </w:tabs>
              <w:spacing w:after="160" w:line="276" w:lineRule="auto"/>
              <w:ind w:left="1199" w:hanging="283"/>
              <w:jc w:val="lef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270065">
              <w:rPr>
                <w:rFonts w:asciiTheme="minorHAnsi" w:hAnsiTheme="minorHAnsi"/>
              </w:rPr>
              <w:t>if 24 months of data is available, the average annual import consumption based on metered data over the 24 months; or if not available</w:t>
            </w:r>
          </w:p>
          <w:p w14:paraId="260ADFDD" w14:textId="77777777" w:rsidR="00572581" w:rsidRPr="00270065" w:rsidRDefault="00572581" w:rsidP="00344F18">
            <w:pPr>
              <w:numPr>
                <w:ilvl w:val="2"/>
                <w:numId w:val="15"/>
              </w:numPr>
              <w:tabs>
                <w:tab w:val="clear" w:pos="2160"/>
              </w:tabs>
              <w:spacing w:after="160" w:line="276" w:lineRule="auto"/>
              <w:ind w:left="1199" w:hanging="283"/>
              <w:jc w:val="lef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270065">
              <w:rPr>
                <w:rFonts w:asciiTheme="minorHAnsi" w:hAnsiTheme="minorHAnsi"/>
              </w:rPr>
              <w:t>when a minimum of 12 months of data is available, the average annual import consumption over the period for which metered data is available; or if not available</w:t>
            </w:r>
          </w:p>
          <w:p w14:paraId="0A3AF7FB" w14:textId="77777777" w:rsidR="00572581" w:rsidRPr="00270065" w:rsidRDefault="00572581" w:rsidP="00344F18">
            <w:pPr>
              <w:numPr>
                <w:ilvl w:val="2"/>
                <w:numId w:val="15"/>
              </w:numPr>
              <w:tabs>
                <w:tab w:val="clear" w:pos="2160"/>
              </w:tabs>
              <w:spacing w:after="160" w:line="276" w:lineRule="auto"/>
              <w:ind w:left="1199" w:hanging="283"/>
              <w:jc w:val="left"/>
              <w:cnfStyle w:val="000000000000" w:firstRow="0" w:lastRow="0" w:firstColumn="0" w:lastColumn="0" w:oddVBand="0" w:evenVBand="0" w:oddHBand="0" w:evenHBand="0" w:firstRowFirstColumn="0" w:firstRowLastColumn="0" w:lastRowFirstColumn="0" w:lastRowLastColumn="0"/>
              <w:rPr>
                <w:rFonts w:asciiTheme="minorHAnsi" w:hAnsiTheme="minorHAnsi"/>
                <w:highlight w:val="yellow"/>
              </w:rPr>
            </w:pPr>
            <w:r w:rsidRPr="00270065">
              <w:rPr>
                <w:rFonts w:asciiTheme="minorHAnsi" w:hAnsiTheme="minorHAnsi"/>
                <w:highlight w:val="yellow"/>
              </w:rPr>
              <w:t>other available information that is appropriate for a typical profile of a similar site to best estimate the expected annual import consumption of the Final Demand Site.</w:t>
            </w:r>
          </w:p>
          <w:p w14:paraId="134811BB" w14:textId="77777777" w:rsidR="00572581" w:rsidRPr="00270065" w:rsidRDefault="00572581" w:rsidP="00344F18">
            <w:pPr>
              <w:numPr>
                <w:ilvl w:val="1"/>
                <w:numId w:val="17"/>
              </w:numPr>
              <w:tabs>
                <w:tab w:val="clear" w:pos="1440"/>
                <w:tab w:val="num" w:pos="774"/>
              </w:tabs>
              <w:spacing w:after="160" w:line="276" w:lineRule="auto"/>
              <w:ind w:left="774" w:hanging="425"/>
              <w:jc w:val="lef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270065">
              <w:rPr>
                <w:rFonts w:asciiTheme="minorHAnsi" w:hAnsiTheme="minorHAnsi"/>
              </w:rPr>
              <w:t>for a Final Demand Site that is non-half hourly settled:</w:t>
            </w:r>
          </w:p>
          <w:p w14:paraId="4EDCF997" w14:textId="77777777" w:rsidR="00572581" w:rsidRPr="00270065" w:rsidRDefault="00572581" w:rsidP="00344F18">
            <w:pPr>
              <w:numPr>
                <w:ilvl w:val="2"/>
                <w:numId w:val="18"/>
              </w:numPr>
              <w:tabs>
                <w:tab w:val="clear" w:pos="2160"/>
              </w:tabs>
              <w:spacing w:after="160" w:line="276" w:lineRule="auto"/>
              <w:ind w:left="1199" w:hanging="283"/>
              <w:jc w:val="lef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270065">
              <w:rPr>
                <w:rFonts w:asciiTheme="minorHAnsi" w:hAnsiTheme="minorHAnsi"/>
              </w:rPr>
              <w:t>the most recent Estimated Annual Consumption for that Final Demand Site; or if not available</w:t>
            </w:r>
          </w:p>
          <w:p w14:paraId="0E5FFAB6" w14:textId="77777777" w:rsidR="00572581" w:rsidRPr="00270065" w:rsidRDefault="00572581" w:rsidP="00344F18">
            <w:pPr>
              <w:numPr>
                <w:ilvl w:val="2"/>
                <w:numId w:val="18"/>
              </w:numPr>
              <w:tabs>
                <w:tab w:val="clear" w:pos="2160"/>
              </w:tabs>
              <w:spacing w:after="160" w:line="276" w:lineRule="auto"/>
              <w:ind w:left="1199" w:hanging="283"/>
              <w:jc w:val="left"/>
              <w:cnfStyle w:val="000000000000" w:firstRow="0" w:lastRow="0" w:firstColumn="0" w:lastColumn="0" w:oddVBand="0" w:evenVBand="0" w:oddHBand="0" w:evenHBand="0" w:firstRowFirstColumn="0" w:firstRowLastColumn="0" w:lastRowFirstColumn="0" w:lastRowLastColumn="0"/>
              <w:rPr>
                <w:rFonts w:asciiTheme="minorHAnsi" w:hAnsiTheme="minorHAnsi"/>
                <w:highlight w:val="yellow"/>
              </w:rPr>
            </w:pPr>
            <w:r w:rsidRPr="00270065">
              <w:rPr>
                <w:rFonts w:asciiTheme="minorHAnsi" w:hAnsiTheme="minorHAnsi"/>
                <w:highlight w:val="yellow"/>
              </w:rPr>
              <w:t>the Default Estimated Annual Consumption for that class of Final Demand Site; or if not available</w:t>
            </w:r>
          </w:p>
          <w:p w14:paraId="1321DE54" w14:textId="77777777" w:rsidR="00572581" w:rsidRPr="00270065" w:rsidRDefault="00572581" w:rsidP="00344F18">
            <w:pPr>
              <w:numPr>
                <w:ilvl w:val="2"/>
                <w:numId w:val="18"/>
              </w:numPr>
              <w:tabs>
                <w:tab w:val="clear" w:pos="2160"/>
              </w:tabs>
              <w:spacing w:after="0" w:line="276" w:lineRule="auto"/>
              <w:ind w:left="1199" w:hanging="283"/>
              <w:jc w:val="left"/>
              <w:cnfStyle w:val="000000000000" w:firstRow="0" w:lastRow="0" w:firstColumn="0" w:lastColumn="0" w:oddVBand="0" w:evenVBand="0" w:oddHBand="0" w:evenHBand="0" w:firstRowFirstColumn="0" w:firstRowLastColumn="0" w:lastRowFirstColumn="0" w:lastRowLastColumn="0"/>
              <w:rPr>
                <w:rFonts w:asciiTheme="minorHAnsi" w:hAnsiTheme="minorHAnsi"/>
                <w:highlight w:val="yellow"/>
              </w:rPr>
            </w:pPr>
            <w:r w:rsidRPr="00270065">
              <w:rPr>
                <w:rFonts w:asciiTheme="minorHAnsi" w:hAnsiTheme="minorHAnsi"/>
                <w:highlight w:val="yellow"/>
              </w:rPr>
              <w:lastRenderedPageBreak/>
              <w:t>other available information that is appropriate for a typical profile of a similar site to best estimate the expected annual import consumption of the Final Demand Site.</w:t>
            </w:r>
          </w:p>
        </w:tc>
      </w:tr>
    </w:tbl>
    <w:p w14:paraId="0E921381" w14:textId="77777777" w:rsidR="009D2B62" w:rsidRDefault="009D2B62"/>
    <w:sectPr w:rsidR="009D2B62" w:rsidSect="00344F18">
      <w:pgSz w:w="11906" w:h="16838"/>
      <w:pgMar w:top="851" w:right="1080" w:bottom="709" w:left="108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8C9D1" w14:textId="77777777" w:rsidR="00881B4E" w:rsidRDefault="00881B4E" w:rsidP="00344F18">
      <w:pPr>
        <w:spacing w:after="0" w:line="240" w:lineRule="auto"/>
      </w:pPr>
      <w:r>
        <w:separator/>
      </w:r>
    </w:p>
  </w:endnote>
  <w:endnote w:type="continuationSeparator" w:id="0">
    <w:p w14:paraId="54D7EA63" w14:textId="77777777" w:rsidR="00881B4E" w:rsidRDefault="00881B4E" w:rsidP="00344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9AFFE" w14:textId="77777777" w:rsidR="00881B4E" w:rsidRDefault="00881B4E" w:rsidP="00344F18">
      <w:pPr>
        <w:spacing w:after="0" w:line="240" w:lineRule="auto"/>
      </w:pPr>
      <w:r>
        <w:separator/>
      </w:r>
    </w:p>
  </w:footnote>
  <w:footnote w:type="continuationSeparator" w:id="0">
    <w:p w14:paraId="02F89A74" w14:textId="77777777" w:rsidR="00881B4E" w:rsidRDefault="00881B4E" w:rsidP="00344F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A09"/>
    <w:multiLevelType w:val="hybridMultilevel"/>
    <w:tmpl w:val="3DCAD2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C60615E"/>
    <w:multiLevelType w:val="multilevel"/>
    <w:tmpl w:val="C2A010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15:restartNumberingAfterBreak="0">
    <w:nsid w:val="186F08A2"/>
    <w:multiLevelType w:val="hybridMultilevel"/>
    <w:tmpl w:val="B130F336"/>
    <w:lvl w:ilvl="0" w:tplc="27C662FA">
      <w:start w:val="1"/>
      <w:numFmt w:val="bullet"/>
      <w:pStyle w:val="GSBodyPara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E0B534E"/>
    <w:multiLevelType w:val="multilevel"/>
    <w:tmpl w:val="C2A010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8F52C33"/>
    <w:multiLevelType w:val="multilevel"/>
    <w:tmpl w:val="2228E00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F1E791E"/>
    <w:multiLevelType w:val="multilevel"/>
    <w:tmpl w:val="2228E00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6E72121"/>
    <w:multiLevelType w:val="multilevel"/>
    <w:tmpl w:val="5C1AA728"/>
    <w:lvl w:ilvl="0">
      <w:start w:val="1"/>
      <w:numFmt w:val="decimal"/>
      <w:lvlText w:val="%1."/>
      <w:lvlJc w:val="left"/>
      <w:pPr>
        <w:ind w:left="680" w:hanging="680"/>
      </w:pPr>
      <w:rPr>
        <w:rFonts w:hint="default"/>
      </w:rPr>
    </w:lvl>
    <w:lvl w:ilvl="1">
      <w:start w:val="1"/>
      <w:numFmt w:val="decimal"/>
      <w:pStyle w:val="Heading2"/>
      <w:lvlText w:val="%1.%2"/>
      <w:lvlJc w:val="left"/>
      <w:pPr>
        <w:ind w:left="737" w:hanging="737"/>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00A3009"/>
    <w:multiLevelType w:val="multilevel"/>
    <w:tmpl w:val="BA468804"/>
    <w:lvl w:ilvl="0">
      <w:start w:val="1"/>
      <w:numFmt w:val="decimal"/>
      <w:pStyle w:val="Heading1"/>
      <w:lvlText w:val="%1"/>
      <w:lvlJc w:val="left"/>
      <w:pPr>
        <w:ind w:left="432" w:hanging="432"/>
      </w:pPr>
      <w:rPr>
        <w:rFonts w:hint="default"/>
      </w:rPr>
    </w:lvl>
    <w:lvl w:ilvl="1">
      <w:start w:val="2"/>
      <w:numFmt w:val="decimal"/>
      <w:lvlText w:val="%1.%2"/>
      <w:lvlJc w:val="left"/>
      <w:pPr>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6A2723FC"/>
    <w:multiLevelType w:val="multilevel"/>
    <w:tmpl w:val="C8E6A5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A210585"/>
    <w:multiLevelType w:val="multilevel"/>
    <w:tmpl w:val="DFB4A2D8"/>
    <w:lvl w:ilvl="0">
      <w:start w:val="1"/>
      <w:numFmt w:val="decimal"/>
      <w:lvlText w:val="%1."/>
      <w:lvlJc w:val="left"/>
      <w:pPr>
        <w:tabs>
          <w:tab w:val="num" w:pos="567"/>
        </w:tabs>
        <w:ind w:left="567" w:hanging="567"/>
      </w:pPr>
      <w:rPr>
        <w:rFonts w:hint="default"/>
        <w:sz w:val="24"/>
      </w:rPr>
    </w:lvl>
    <w:lvl w:ilvl="1">
      <w:start w:val="1"/>
      <w:numFmt w:val="decimal"/>
      <w:pStyle w:val="GSHeading1withnumb"/>
      <w:lvlText w:val="%1.%2"/>
      <w:lvlJc w:val="left"/>
      <w:pPr>
        <w:tabs>
          <w:tab w:val="num" w:pos="851"/>
        </w:tabs>
        <w:ind w:left="851" w:hanging="567"/>
      </w:pPr>
      <w:rPr>
        <w:rFonts w:asciiTheme="minorHAnsi" w:hAnsiTheme="minorHAnsi" w:cstheme="minorHAnsi" w:hint="default"/>
        <w:i w:val="0"/>
        <w:iCs w:val="0"/>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235943725">
    <w:abstractNumId w:val="7"/>
  </w:num>
  <w:num w:numId="2" w16cid:durableId="610744125">
    <w:abstractNumId w:val="9"/>
  </w:num>
  <w:num w:numId="3" w16cid:durableId="1842038546">
    <w:abstractNumId w:val="3"/>
  </w:num>
  <w:num w:numId="4" w16cid:durableId="970985417">
    <w:abstractNumId w:val="10"/>
  </w:num>
  <w:num w:numId="5" w16cid:durableId="1445343810">
    <w:abstractNumId w:val="10"/>
  </w:num>
  <w:num w:numId="6" w16cid:durableId="1185946218">
    <w:abstractNumId w:val="2"/>
  </w:num>
  <w:num w:numId="7" w16cid:durableId="307706500">
    <w:abstractNumId w:val="10"/>
  </w:num>
  <w:num w:numId="8" w16cid:durableId="1823157581">
    <w:abstractNumId w:val="10"/>
  </w:num>
  <w:num w:numId="9" w16cid:durableId="2036148694">
    <w:abstractNumId w:val="10"/>
  </w:num>
  <w:num w:numId="10" w16cid:durableId="1585334452">
    <w:abstractNumId w:val="10"/>
  </w:num>
  <w:num w:numId="11" w16cid:durableId="1105227575">
    <w:abstractNumId w:val="8"/>
  </w:num>
  <w:num w:numId="12" w16cid:durableId="71203131">
    <w:abstractNumId w:val="10"/>
  </w:num>
  <w:num w:numId="13" w16cid:durableId="791941650">
    <w:abstractNumId w:val="0"/>
  </w:num>
  <w:num w:numId="14" w16cid:durableId="13914918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55110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1588117">
    <w:abstractNumId w:val="0"/>
  </w:num>
  <w:num w:numId="17" w16cid:durableId="397753132">
    <w:abstractNumId w:val="1"/>
  </w:num>
  <w:num w:numId="18" w16cid:durableId="989552150">
    <w:abstractNumId w:val="6"/>
  </w:num>
  <w:num w:numId="19" w16cid:durableId="19567093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581"/>
    <w:rsid w:val="0000694D"/>
    <w:rsid w:val="00013D3B"/>
    <w:rsid w:val="0011089D"/>
    <w:rsid w:val="001E6E29"/>
    <w:rsid w:val="00235F2E"/>
    <w:rsid w:val="00270065"/>
    <w:rsid w:val="00344F18"/>
    <w:rsid w:val="003A02B1"/>
    <w:rsid w:val="003A6917"/>
    <w:rsid w:val="00526B55"/>
    <w:rsid w:val="00543289"/>
    <w:rsid w:val="00572581"/>
    <w:rsid w:val="0072027A"/>
    <w:rsid w:val="007E4F5B"/>
    <w:rsid w:val="00832EF0"/>
    <w:rsid w:val="00881B4E"/>
    <w:rsid w:val="008E3B62"/>
    <w:rsid w:val="00924856"/>
    <w:rsid w:val="00924FC7"/>
    <w:rsid w:val="009A3C78"/>
    <w:rsid w:val="009D2B62"/>
    <w:rsid w:val="00B05EAA"/>
    <w:rsid w:val="00BE4FDD"/>
    <w:rsid w:val="00C23B10"/>
    <w:rsid w:val="00D205E5"/>
    <w:rsid w:val="00D26749"/>
    <w:rsid w:val="00D34223"/>
    <w:rsid w:val="00D95C14"/>
    <w:rsid w:val="00DB353A"/>
    <w:rsid w:val="00F270A6"/>
    <w:rsid w:val="00FE4C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8CF87"/>
  <w15:chartTrackingRefBased/>
  <w15:docId w15:val="{56FFE838-91E3-40F0-9033-B0C081CE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223"/>
    <w:pPr>
      <w:spacing w:line="360" w:lineRule="auto"/>
      <w:jc w:val="both"/>
    </w:pPr>
    <w:rPr>
      <w:color w:val="4D4D4D"/>
    </w:rPr>
  </w:style>
  <w:style w:type="paragraph" w:styleId="Heading1">
    <w:name w:val="heading 1"/>
    <w:basedOn w:val="Heading3"/>
    <w:next w:val="Normal"/>
    <w:link w:val="Heading1Char"/>
    <w:uiPriority w:val="1"/>
    <w:qFormat/>
    <w:rsid w:val="007E4F5B"/>
    <w:pPr>
      <w:keepLines w:val="0"/>
      <w:numPr>
        <w:ilvl w:val="0"/>
      </w:numPr>
      <w:spacing w:before="240" w:after="200" w:line="276" w:lineRule="auto"/>
      <w:outlineLvl w:val="0"/>
    </w:pPr>
    <w:rPr>
      <w:rFonts w:ascii="Arial" w:eastAsiaTheme="minorHAnsi" w:hAnsi="Arial" w:cs="Arial"/>
      <w:b/>
      <w:bCs/>
      <w:color w:val="auto"/>
      <w:spacing w:val="10"/>
      <w:sz w:val="22"/>
      <w:szCs w:val="22"/>
      <w:u w:val="single"/>
    </w:rPr>
  </w:style>
  <w:style w:type="paragraph" w:styleId="Heading2">
    <w:name w:val="heading 2"/>
    <w:aliases w:val="DCUSA H2"/>
    <w:basedOn w:val="Normal"/>
    <w:next w:val="BodyText"/>
    <w:link w:val="Heading2Char"/>
    <w:uiPriority w:val="99"/>
    <w:qFormat/>
    <w:rsid w:val="00DB353A"/>
    <w:pPr>
      <w:keepLines/>
      <w:numPr>
        <w:ilvl w:val="1"/>
        <w:numId w:val="1"/>
      </w:numPr>
      <w:spacing w:after="200"/>
      <w:ind w:left="720" w:hanging="720"/>
      <w:jc w:val="left"/>
      <w:outlineLvl w:val="1"/>
    </w:pPr>
    <w:rPr>
      <w:rFonts w:ascii="Times New Roman" w:eastAsia="Times New Roman" w:hAnsi="Times New Roman" w:cs="Times New Roman"/>
      <w:color w:val="auto"/>
      <w:sz w:val="24"/>
      <w:szCs w:val="20"/>
    </w:rPr>
  </w:style>
  <w:style w:type="paragraph" w:styleId="Heading3">
    <w:name w:val="heading 3"/>
    <w:basedOn w:val="Normal"/>
    <w:next w:val="Normal"/>
    <w:link w:val="Heading3Char"/>
    <w:uiPriority w:val="9"/>
    <w:semiHidden/>
    <w:unhideWhenUsed/>
    <w:qFormat/>
    <w:rsid w:val="007E4F5B"/>
    <w:pPr>
      <w:keepNext/>
      <w:keepLines/>
      <w:numPr>
        <w:ilvl w:val="2"/>
        <w:numId w:val="11"/>
      </w:numPr>
      <w:spacing w:before="40" w:after="0"/>
      <w:outlineLvl w:val="2"/>
    </w:pPr>
    <w:rPr>
      <w:rFonts w:asciiTheme="majorHAnsi" w:eastAsiaTheme="majorEastAsia" w:hAnsiTheme="majorHAnsi" w:cstheme="majorBidi"/>
      <w:color w:val="0A2F40" w:themeColor="accent1" w:themeShade="7F"/>
      <w:sz w:val="24"/>
      <w:szCs w:val="24"/>
    </w:rPr>
  </w:style>
  <w:style w:type="paragraph" w:styleId="Heading4">
    <w:name w:val="heading 4"/>
    <w:basedOn w:val="Normal"/>
    <w:next w:val="Normal"/>
    <w:link w:val="Heading4Char"/>
    <w:uiPriority w:val="9"/>
    <w:semiHidden/>
    <w:unhideWhenUsed/>
    <w:qFormat/>
    <w:rsid w:val="005725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25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25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25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25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25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E4F5B"/>
    <w:rPr>
      <w:rFonts w:ascii="Arial" w:hAnsi="Arial" w:cs="Arial"/>
      <w:b/>
      <w:bCs/>
      <w:spacing w:val="10"/>
      <w:u w:val="single"/>
    </w:rPr>
  </w:style>
  <w:style w:type="character" w:customStyle="1" w:styleId="Heading3Char">
    <w:name w:val="Heading 3 Char"/>
    <w:basedOn w:val="DefaultParagraphFont"/>
    <w:link w:val="Heading3"/>
    <w:uiPriority w:val="9"/>
    <w:semiHidden/>
    <w:rsid w:val="007E4F5B"/>
    <w:rPr>
      <w:rFonts w:asciiTheme="majorHAnsi" w:eastAsiaTheme="majorEastAsia" w:hAnsiTheme="majorHAnsi" w:cstheme="majorBidi"/>
      <w:color w:val="0A2F40" w:themeColor="accent1" w:themeShade="7F"/>
      <w:sz w:val="24"/>
      <w:szCs w:val="24"/>
    </w:rPr>
  </w:style>
  <w:style w:type="table" w:customStyle="1" w:styleId="GSActionsTable5">
    <w:name w:val="GS Actions Table5"/>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51">
    <w:name w:val="GS Actions Table51"/>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6">
    <w:name w:val="GS Actions Table6"/>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61">
    <w:name w:val="GS Actions Table61"/>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ttendeeList">
    <w:name w:val="GS Attendee List"/>
    <w:basedOn w:val="TableNormal"/>
    <w:uiPriority w:val="99"/>
    <w:rsid w:val="00F270A6"/>
    <w:pPr>
      <w:spacing w:before="20" w:after="20" w:line="240" w:lineRule="auto"/>
    </w:pPr>
    <w:rPr>
      <w:rFonts w:ascii="Calibri" w:hAnsi="Calibri"/>
      <w:sz w:val="24"/>
      <w:lang w:eastAsia="en-US"/>
    </w:rPr>
    <w:tblPr/>
    <w:tblStylePr w:type="firstRow">
      <w:pPr>
        <w:wordWrap/>
        <w:spacing w:beforeLines="0" w:before="60" w:beforeAutospacing="0" w:afterLines="0" w:after="240" w:afterAutospacing="0" w:line="240" w:lineRule="auto"/>
        <w:ind w:leftChars="0" w:left="0" w:rightChars="0" w:right="0" w:firstLineChars="0" w:firstLine="0"/>
        <w:contextualSpacing w:val="0"/>
        <w:mirrorIndents w:val="0"/>
        <w:jc w:val="left"/>
        <w:outlineLvl w:val="9"/>
      </w:pPr>
      <w:rPr>
        <w:b/>
      </w:rPr>
    </w:tblStylePr>
    <w:tblStylePr w:type="lastRow">
      <w:pPr>
        <w:wordWrap/>
        <w:spacing w:afterLines="240" w:after="240" w:afterAutospacing="0"/>
        <w:contextualSpacing w:val="0"/>
        <w:mirrorIndents w:val="0"/>
      </w:pPr>
    </w:tblStylePr>
  </w:style>
  <w:style w:type="paragraph" w:customStyle="1" w:styleId="GSBodyPara">
    <w:name w:val="GS Body Para"/>
    <w:basedOn w:val="Normal"/>
    <w:link w:val="GSBodyParaChar"/>
    <w:qFormat/>
    <w:rsid w:val="00F270A6"/>
    <w:pPr>
      <w:spacing w:before="60" w:after="200" w:line="260" w:lineRule="exact"/>
    </w:pPr>
    <w:rPr>
      <w:rFonts w:cs="Arial"/>
      <w:lang w:eastAsia="en-US"/>
    </w:rPr>
  </w:style>
  <w:style w:type="character" w:customStyle="1" w:styleId="GSBodyParaChar">
    <w:name w:val="GS Body Para Char"/>
    <w:basedOn w:val="DefaultParagraphFont"/>
    <w:link w:val="GSBodyPara"/>
    <w:rsid w:val="00F270A6"/>
    <w:rPr>
      <w:rFonts w:cs="Arial"/>
      <w:color w:val="4D4D4D"/>
      <w:lang w:eastAsia="en-US"/>
    </w:rPr>
  </w:style>
  <w:style w:type="paragraph" w:customStyle="1" w:styleId="GSBodyParaBullet">
    <w:name w:val="GS Body Para Bullet"/>
    <w:basedOn w:val="ListParagraph"/>
    <w:link w:val="GSBodyParaBulletChar"/>
    <w:qFormat/>
    <w:rsid w:val="00F270A6"/>
    <w:pPr>
      <w:numPr>
        <w:numId w:val="3"/>
      </w:numPr>
      <w:spacing w:after="200" w:line="276" w:lineRule="auto"/>
      <w:contextualSpacing w:val="0"/>
    </w:pPr>
    <w:rPr>
      <w:rFonts w:cs="Arial"/>
      <w:lang w:eastAsia="en-US"/>
    </w:rPr>
  </w:style>
  <w:style w:type="character" w:customStyle="1" w:styleId="GSBodyParaBulletChar">
    <w:name w:val="GS Body Para Bullet Char"/>
    <w:basedOn w:val="DefaultParagraphFont"/>
    <w:link w:val="GSBodyParaBullet"/>
    <w:rsid w:val="00F270A6"/>
    <w:rPr>
      <w:rFonts w:cs="Arial"/>
      <w:color w:val="4D4D4D"/>
      <w:lang w:eastAsia="en-US"/>
    </w:rPr>
  </w:style>
  <w:style w:type="paragraph" w:styleId="ListParagraph">
    <w:name w:val="List Paragraph"/>
    <w:basedOn w:val="Normal"/>
    <w:uiPriority w:val="34"/>
    <w:qFormat/>
    <w:rsid w:val="00F270A6"/>
    <w:pPr>
      <w:ind w:left="720"/>
      <w:contextualSpacing/>
    </w:pPr>
  </w:style>
  <w:style w:type="paragraph" w:customStyle="1" w:styleId="GSBodyParawithnumb">
    <w:name w:val="GS Body Para with numb"/>
    <w:basedOn w:val="GSHeading1withnumb"/>
    <w:link w:val="GSBodyParawithnumbChar"/>
    <w:autoRedefine/>
    <w:qFormat/>
    <w:rsid w:val="00543289"/>
    <w:pPr>
      <w:pBdr>
        <w:bottom w:val="none" w:sz="0" w:space="0" w:color="auto"/>
      </w:pBdr>
    </w:pPr>
  </w:style>
  <w:style w:type="character" w:customStyle="1" w:styleId="GSBodyParawithnumbChar">
    <w:name w:val="GS Body Para with numb Char"/>
    <w:basedOn w:val="DefaultParagraphFont"/>
    <w:link w:val="GSBodyParawithnumb"/>
    <w:rsid w:val="00543289"/>
    <w:rPr>
      <w:color w:val="4D4D4D"/>
    </w:rPr>
  </w:style>
  <w:style w:type="paragraph" w:customStyle="1" w:styleId="GSTblText1">
    <w:name w:val="GS Tbl Text 1"/>
    <w:basedOn w:val="Normal"/>
    <w:link w:val="GSTblText1Char"/>
    <w:qFormat/>
    <w:rsid w:val="00F270A6"/>
    <w:pPr>
      <w:spacing w:before="60" w:after="200" w:line="276" w:lineRule="auto"/>
    </w:pPr>
    <w:rPr>
      <w:rFonts w:cs="Arial"/>
      <w:b/>
      <w:lang w:eastAsia="en-US"/>
    </w:rPr>
  </w:style>
  <w:style w:type="character" w:customStyle="1" w:styleId="GSTblText1Char">
    <w:name w:val="GS Tbl Text 1 Char"/>
    <w:basedOn w:val="DefaultParagraphFont"/>
    <w:link w:val="GSTblText1"/>
    <w:rsid w:val="00F270A6"/>
    <w:rPr>
      <w:rFonts w:cs="Arial"/>
      <w:b/>
      <w:color w:val="4D4D4D"/>
      <w:lang w:eastAsia="en-US"/>
    </w:rPr>
  </w:style>
  <w:style w:type="paragraph" w:customStyle="1" w:styleId="GSCommittee">
    <w:name w:val="GS Committee"/>
    <w:basedOn w:val="GSTblText1"/>
    <w:link w:val="GSCommitteeChar"/>
    <w:qFormat/>
    <w:rsid w:val="00F270A6"/>
  </w:style>
  <w:style w:type="character" w:customStyle="1" w:styleId="GSCommitteeChar">
    <w:name w:val="GS Committee Char"/>
    <w:basedOn w:val="DefaultParagraphFont"/>
    <w:link w:val="GSCommittee"/>
    <w:rsid w:val="00F270A6"/>
    <w:rPr>
      <w:rFonts w:cs="Arial"/>
      <w:b/>
      <w:color w:val="4D4D4D"/>
      <w:lang w:eastAsia="en-US"/>
    </w:rPr>
  </w:style>
  <w:style w:type="paragraph" w:customStyle="1" w:styleId="GSHeaderFooter">
    <w:name w:val="GS Header/Footer"/>
    <w:basedOn w:val="Normal"/>
    <w:link w:val="GSHeaderFooterChar"/>
    <w:qFormat/>
    <w:rsid w:val="00F270A6"/>
    <w:pPr>
      <w:tabs>
        <w:tab w:val="center" w:pos="4536"/>
        <w:tab w:val="right" w:pos="9072"/>
      </w:tabs>
      <w:spacing w:before="60" w:after="0" w:line="276" w:lineRule="auto"/>
    </w:pPr>
    <w:rPr>
      <w:rFonts w:cs="Arial"/>
      <w:sz w:val="16"/>
      <w:lang w:eastAsia="en-US"/>
    </w:rPr>
  </w:style>
  <w:style w:type="character" w:customStyle="1" w:styleId="GSHeaderFooterChar">
    <w:name w:val="GS Header/Footer Char"/>
    <w:basedOn w:val="DefaultParagraphFont"/>
    <w:link w:val="GSHeaderFooter"/>
    <w:rsid w:val="00F270A6"/>
    <w:rPr>
      <w:rFonts w:cs="Arial"/>
      <w:color w:val="4D4D4D"/>
      <w:sz w:val="16"/>
      <w:lang w:eastAsia="en-US"/>
    </w:rPr>
  </w:style>
  <w:style w:type="paragraph" w:customStyle="1" w:styleId="GSHeaderFooterlandscape">
    <w:name w:val="GS Header/Footer landscape"/>
    <w:basedOn w:val="Normal"/>
    <w:link w:val="GSHeaderFooterlandscapeChar"/>
    <w:qFormat/>
    <w:rsid w:val="00F270A6"/>
    <w:pPr>
      <w:tabs>
        <w:tab w:val="center" w:pos="6946"/>
        <w:tab w:val="right" w:pos="13892"/>
      </w:tabs>
      <w:spacing w:before="60" w:after="0" w:line="276" w:lineRule="auto"/>
    </w:pPr>
    <w:rPr>
      <w:rFonts w:cs="Arial"/>
      <w:sz w:val="16"/>
      <w:lang w:eastAsia="en-US"/>
    </w:rPr>
  </w:style>
  <w:style w:type="character" w:customStyle="1" w:styleId="GSHeaderFooterlandscapeChar">
    <w:name w:val="GS Header/Footer landscape Char"/>
    <w:basedOn w:val="DefaultParagraphFont"/>
    <w:link w:val="GSHeaderFooterlandscape"/>
    <w:rsid w:val="00F270A6"/>
    <w:rPr>
      <w:rFonts w:cs="Arial"/>
      <w:color w:val="4D4D4D"/>
      <w:sz w:val="16"/>
      <w:lang w:eastAsia="en-US"/>
    </w:rPr>
  </w:style>
  <w:style w:type="paragraph" w:customStyle="1" w:styleId="GSHeading1withnumb">
    <w:name w:val="GS Heading 1 with numb"/>
    <w:basedOn w:val="Subtitle"/>
    <w:link w:val="GSHeading1withnumbChar"/>
    <w:autoRedefine/>
    <w:qFormat/>
    <w:rsid w:val="00344F18"/>
    <w:pPr>
      <w:numPr>
        <w:numId w:val="12"/>
      </w:numPr>
      <w:pBdr>
        <w:bottom w:val="single" w:sz="2" w:space="5" w:color="CEE0CC"/>
      </w:pBdr>
      <w:spacing w:before="120" w:after="120" w:line="276" w:lineRule="auto"/>
      <w:ind w:left="567"/>
    </w:pPr>
    <w:rPr>
      <w:rFonts w:eastAsiaTheme="minorHAnsi"/>
      <w:color w:val="4D4D4D"/>
      <w:spacing w:val="0"/>
    </w:rPr>
  </w:style>
  <w:style w:type="character" w:customStyle="1" w:styleId="GSHeading1withnumbChar">
    <w:name w:val="GS Heading 1 with numb Char"/>
    <w:basedOn w:val="DefaultParagraphFont"/>
    <w:link w:val="GSHeading1withnumb"/>
    <w:rsid w:val="00344F18"/>
    <w:rPr>
      <w:color w:val="4D4D4D"/>
    </w:rPr>
  </w:style>
  <w:style w:type="paragraph" w:styleId="Subtitle">
    <w:name w:val="Subtitle"/>
    <w:basedOn w:val="Normal"/>
    <w:next w:val="Normal"/>
    <w:link w:val="SubtitleChar"/>
    <w:uiPriority w:val="11"/>
    <w:qFormat/>
    <w:rsid w:val="00F270A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270A6"/>
    <w:rPr>
      <w:rFonts w:eastAsiaTheme="minorEastAsia"/>
      <w:color w:val="5A5A5A" w:themeColor="text1" w:themeTint="A5"/>
      <w:spacing w:val="15"/>
    </w:rPr>
  </w:style>
  <w:style w:type="paragraph" w:customStyle="1" w:styleId="GSHeading1">
    <w:name w:val="GS Heading 1"/>
    <w:basedOn w:val="GSHeading1withnumb"/>
    <w:link w:val="GSHeading1Char"/>
    <w:qFormat/>
    <w:rsid w:val="00F270A6"/>
    <w:pPr>
      <w:numPr>
        <w:numId w:val="0"/>
      </w:numPr>
    </w:pPr>
  </w:style>
  <w:style w:type="character" w:customStyle="1" w:styleId="GSHeading1Char">
    <w:name w:val="GS Heading 1 Char"/>
    <w:basedOn w:val="DefaultParagraphFont"/>
    <w:link w:val="GSHeading1"/>
    <w:rsid w:val="00F270A6"/>
    <w:rPr>
      <w:rFonts w:eastAsiaTheme="minorEastAsia" w:cs="Arial"/>
      <w:color w:val="3B9164"/>
      <w:spacing w:val="15"/>
      <w:sz w:val="28"/>
      <w:szCs w:val="40"/>
    </w:rPr>
  </w:style>
  <w:style w:type="paragraph" w:customStyle="1" w:styleId="GSHeading2">
    <w:name w:val="GS Heading 2"/>
    <w:basedOn w:val="GSHeading1"/>
    <w:next w:val="GSBodyPara"/>
    <w:link w:val="GSHeading2Char"/>
    <w:qFormat/>
    <w:rsid w:val="00F270A6"/>
    <w:rPr>
      <w:sz w:val="32"/>
      <w:szCs w:val="32"/>
    </w:rPr>
  </w:style>
  <w:style w:type="character" w:customStyle="1" w:styleId="GSHeading2Char">
    <w:name w:val="GS Heading 2 Char"/>
    <w:basedOn w:val="GSHeading1Char"/>
    <w:link w:val="GSHeading2"/>
    <w:rsid w:val="00F270A6"/>
    <w:rPr>
      <w:rFonts w:eastAsiaTheme="minorEastAsia" w:cs="Arial"/>
      <w:color w:val="3B9164"/>
      <w:spacing w:val="15"/>
      <w:sz w:val="32"/>
      <w:szCs w:val="32"/>
    </w:rPr>
  </w:style>
  <w:style w:type="numbering" w:customStyle="1" w:styleId="GSNumList">
    <w:name w:val="GS NumList"/>
    <w:uiPriority w:val="99"/>
    <w:rsid w:val="00F270A6"/>
    <w:pPr>
      <w:numPr>
        <w:numId w:val="6"/>
      </w:numPr>
    </w:pPr>
  </w:style>
  <w:style w:type="table" w:customStyle="1" w:styleId="GSTable">
    <w:name w:val="GS Table"/>
    <w:basedOn w:val="TableNormal"/>
    <w:uiPriority w:val="99"/>
    <w:rsid w:val="003A6917"/>
    <w:pPr>
      <w:spacing w:before="60" w:after="120" w:line="240" w:lineRule="auto"/>
    </w:pPr>
    <w:rPr>
      <w:rFonts w:ascii="Calibri" w:hAnsi="Calibri"/>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pPr>
        <w:jc w:val="center"/>
      </w:pPr>
      <w:rPr>
        <w:rFonts w:asciiTheme="minorHAnsi" w:hAnsiTheme="minorHAnsi"/>
        <w:b/>
        <w:caps w:val="0"/>
        <w:smallCaps w:val="0"/>
        <w:strike w:val="0"/>
        <w:dstrike w:val="0"/>
        <w:vanish w:val="0"/>
        <w:color w:val="FFFFFF" w:themeColor="background1"/>
        <w:sz w:val="20"/>
        <w:vertAlign w:val="baseline"/>
      </w:rPr>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rFonts w:asciiTheme="minorHAnsi" w:hAnsiTheme="minorHAnsi"/>
        <w:b/>
        <w:sz w:val="20"/>
      </w:rPr>
    </w:tblStylePr>
  </w:style>
  <w:style w:type="table" w:customStyle="1" w:styleId="GSTable1">
    <w:name w:val="GS Table1"/>
    <w:basedOn w:val="TableNormal"/>
    <w:uiPriority w:val="99"/>
    <w:rsid w:val="00F270A6"/>
    <w:pPr>
      <w:spacing w:before="60" w:after="120" w:line="240" w:lineRule="auto"/>
    </w:pPr>
    <w:rPr>
      <w:rFonts w:ascii="Calibri" w:hAnsi="Calibri"/>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Title">
    <w:name w:val="GS Title"/>
    <w:basedOn w:val="Title"/>
    <w:link w:val="GSTitleChar"/>
    <w:qFormat/>
    <w:rsid w:val="00F270A6"/>
    <w:pPr>
      <w:pBdr>
        <w:bottom w:val="single" w:sz="2" w:space="3" w:color="CEE0CC"/>
      </w:pBdr>
      <w:spacing w:before="60" w:after="200" w:line="600" w:lineRule="exact"/>
      <w:contextualSpacing w:val="0"/>
    </w:pPr>
    <w:rPr>
      <w:rFonts w:asciiTheme="minorHAnsi" w:hAnsiTheme="minorHAnsi"/>
      <w:b/>
      <w:color w:val="388E63"/>
      <w:szCs w:val="110"/>
    </w:rPr>
  </w:style>
  <w:style w:type="character" w:customStyle="1" w:styleId="GSTitleChar">
    <w:name w:val="GS Title Char"/>
    <w:basedOn w:val="DefaultParagraphFont"/>
    <w:link w:val="GSTitle"/>
    <w:rsid w:val="00F270A6"/>
    <w:rPr>
      <w:rFonts w:eastAsiaTheme="majorEastAsia" w:cstheme="majorBidi"/>
      <w:b/>
      <w:color w:val="388E63"/>
      <w:spacing w:val="-10"/>
      <w:kern w:val="28"/>
      <w:sz w:val="56"/>
      <w:szCs w:val="110"/>
    </w:rPr>
  </w:style>
  <w:style w:type="paragraph" w:styleId="Title">
    <w:name w:val="Title"/>
    <w:basedOn w:val="Normal"/>
    <w:next w:val="Normal"/>
    <w:link w:val="TitleChar"/>
    <w:uiPriority w:val="10"/>
    <w:qFormat/>
    <w:rsid w:val="00F270A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70A6"/>
    <w:rPr>
      <w:rFonts w:asciiTheme="majorHAnsi" w:eastAsiaTheme="majorEastAsia" w:hAnsiTheme="majorHAnsi" w:cstheme="majorBidi"/>
      <w:spacing w:val="-10"/>
      <w:kern w:val="28"/>
      <w:sz w:val="56"/>
      <w:szCs w:val="56"/>
    </w:rPr>
  </w:style>
  <w:style w:type="character" w:customStyle="1" w:styleId="Heading2Char">
    <w:name w:val="Heading 2 Char"/>
    <w:aliases w:val="DCUSA H2 Char"/>
    <w:basedOn w:val="DefaultParagraphFont"/>
    <w:link w:val="Heading2"/>
    <w:uiPriority w:val="99"/>
    <w:rsid w:val="00DB353A"/>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DB353A"/>
    <w:pPr>
      <w:spacing w:after="120"/>
    </w:pPr>
  </w:style>
  <w:style w:type="character" w:customStyle="1" w:styleId="BodyTextChar">
    <w:name w:val="Body Text Char"/>
    <w:basedOn w:val="DefaultParagraphFont"/>
    <w:link w:val="BodyText"/>
    <w:uiPriority w:val="99"/>
    <w:semiHidden/>
    <w:rsid w:val="00DB353A"/>
    <w:rPr>
      <w:color w:val="4D4D4D"/>
    </w:rPr>
  </w:style>
  <w:style w:type="paragraph" w:customStyle="1" w:styleId="GSTableHeading">
    <w:name w:val="GS Table Heading"/>
    <w:next w:val="GSTblText1"/>
    <w:link w:val="GSTableHeadingChar"/>
    <w:autoRedefine/>
    <w:qFormat/>
    <w:rsid w:val="003A6917"/>
    <w:pPr>
      <w:spacing w:before="60" w:after="60" w:line="240" w:lineRule="auto"/>
      <w:jc w:val="center"/>
    </w:pPr>
    <w:rPr>
      <w:b/>
      <w:color w:val="FFFFFF" w:themeColor="background1"/>
      <w:sz w:val="20"/>
      <w:lang w:eastAsia="en-US"/>
    </w:rPr>
  </w:style>
  <w:style w:type="character" w:customStyle="1" w:styleId="GSTableHeadingChar">
    <w:name w:val="GS Table Heading Char"/>
    <w:basedOn w:val="DefaultParagraphFont"/>
    <w:link w:val="GSTableHeading"/>
    <w:rsid w:val="003A6917"/>
    <w:rPr>
      <w:b/>
      <w:color w:val="FFFFFF" w:themeColor="background1"/>
      <w:sz w:val="20"/>
      <w:lang w:eastAsia="en-US"/>
    </w:rPr>
  </w:style>
  <w:style w:type="table" w:customStyle="1" w:styleId="GSTblText-Normal">
    <w:name w:val="GS Tbl Text - Normal"/>
    <w:basedOn w:val="GSTable"/>
    <w:uiPriority w:val="99"/>
    <w:rsid w:val="003A6917"/>
    <w:pPr>
      <w:spacing w:after="0"/>
    </w:pPr>
    <w:rPr>
      <w:sz w:val="20"/>
    </w:rPr>
    <w:tblPr/>
    <w:tblStylePr w:type="firstRow">
      <w:pPr>
        <w:jc w:val="center"/>
      </w:pPr>
      <w:rPr>
        <w:rFonts w:asciiTheme="minorHAnsi" w:hAnsiTheme="minorHAnsi"/>
        <w:b/>
        <w:caps w:val="0"/>
        <w:smallCaps w:val="0"/>
        <w:strike w:val="0"/>
        <w:dstrike w:val="0"/>
        <w:vanish w:val="0"/>
        <w:color w:val="FFFFFF" w:themeColor="background1"/>
        <w:sz w:val="20"/>
        <w:vertAlign w:val="baseline"/>
      </w:rPr>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rFonts w:asciiTheme="minorHAnsi" w:hAnsiTheme="minorHAnsi"/>
        <w:b/>
        <w:sz w:val="20"/>
      </w:rPr>
    </w:tblStylePr>
  </w:style>
  <w:style w:type="character" w:customStyle="1" w:styleId="Heading4Char">
    <w:name w:val="Heading 4 Char"/>
    <w:basedOn w:val="DefaultParagraphFont"/>
    <w:link w:val="Heading4"/>
    <w:uiPriority w:val="9"/>
    <w:semiHidden/>
    <w:rsid w:val="005725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25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25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25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25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2581"/>
    <w:rPr>
      <w:rFonts w:eastAsiaTheme="majorEastAsia" w:cstheme="majorBidi"/>
      <w:color w:val="272727" w:themeColor="text1" w:themeTint="D8"/>
    </w:rPr>
  </w:style>
  <w:style w:type="paragraph" w:styleId="Quote">
    <w:name w:val="Quote"/>
    <w:basedOn w:val="Normal"/>
    <w:next w:val="Normal"/>
    <w:link w:val="QuoteChar"/>
    <w:uiPriority w:val="29"/>
    <w:qFormat/>
    <w:rsid w:val="00572581"/>
    <w:pPr>
      <w:spacing w:before="160"/>
      <w:jc w:val="center"/>
    </w:pPr>
    <w:rPr>
      <w:i/>
      <w:iCs/>
      <w:color w:val="404040" w:themeColor="text1" w:themeTint="BF"/>
    </w:rPr>
  </w:style>
  <w:style w:type="character" w:customStyle="1" w:styleId="QuoteChar">
    <w:name w:val="Quote Char"/>
    <w:basedOn w:val="DefaultParagraphFont"/>
    <w:link w:val="Quote"/>
    <w:uiPriority w:val="29"/>
    <w:rsid w:val="00572581"/>
    <w:rPr>
      <w:i/>
      <w:iCs/>
      <w:color w:val="404040" w:themeColor="text1" w:themeTint="BF"/>
    </w:rPr>
  </w:style>
  <w:style w:type="character" w:styleId="IntenseEmphasis">
    <w:name w:val="Intense Emphasis"/>
    <w:basedOn w:val="DefaultParagraphFont"/>
    <w:uiPriority w:val="21"/>
    <w:qFormat/>
    <w:rsid w:val="00572581"/>
    <w:rPr>
      <w:i/>
      <w:iCs/>
      <w:color w:val="0F4761" w:themeColor="accent1" w:themeShade="BF"/>
    </w:rPr>
  </w:style>
  <w:style w:type="paragraph" w:styleId="IntenseQuote">
    <w:name w:val="Intense Quote"/>
    <w:basedOn w:val="Normal"/>
    <w:next w:val="Normal"/>
    <w:link w:val="IntenseQuoteChar"/>
    <w:uiPriority w:val="30"/>
    <w:qFormat/>
    <w:rsid w:val="005725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2581"/>
    <w:rPr>
      <w:i/>
      <w:iCs/>
      <w:color w:val="0F4761" w:themeColor="accent1" w:themeShade="BF"/>
    </w:rPr>
  </w:style>
  <w:style w:type="character" w:styleId="IntenseReference">
    <w:name w:val="Intense Reference"/>
    <w:basedOn w:val="DefaultParagraphFont"/>
    <w:uiPriority w:val="32"/>
    <w:qFormat/>
    <w:rsid w:val="00572581"/>
    <w:rPr>
      <w:b/>
      <w:bCs/>
      <w:smallCaps/>
      <w:color w:val="0F4761" w:themeColor="accent1" w:themeShade="BF"/>
      <w:spacing w:val="5"/>
    </w:rPr>
  </w:style>
  <w:style w:type="character" w:styleId="Hyperlink">
    <w:name w:val="Hyperlink"/>
    <w:basedOn w:val="DefaultParagraphFont"/>
    <w:uiPriority w:val="99"/>
    <w:unhideWhenUsed/>
    <w:rsid w:val="00572581"/>
    <w:rPr>
      <w:color w:val="467886" w:themeColor="hyperlink"/>
      <w:u w:val="single"/>
    </w:rPr>
  </w:style>
  <w:style w:type="character" w:styleId="UnresolvedMention">
    <w:name w:val="Unresolved Mention"/>
    <w:basedOn w:val="DefaultParagraphFont"/>
    <w:uiPriority w:val="99"/>
    <w:semiHidden/>
    <w:unhideWhenUsed/>
    <w:rsid w:val="00572581"/>
    <w:rPr>
      <w:color w:val="605E5C"/>
      <w:shd w:val="clear" w:color="auto" w:fill="E1DFDD"/>
    </w:rPr>
  </w:style>
  <w:style w:type="paragraph" w:styleId="Header">
    <w:name w:val="header"/>
    <w:basedOn w:val="Normal"/>
    <w:link w:val="HeaderChar"/>
    <w:uiPriority w:val="99"/>
    <w:unhideWhenUsed/>
    <w:rsid w:val="00344F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F18"/>
    <w:rPr>
      <w:color w:val="4D4D4D"/>
    </w:rPr>
  </w:style>
  <w:style w:type="paragraph" w:styleId="Footer">
    <w:name w:val="footer"/>
    <w:basedOn w:val="Normal"/>
    <w:link w:val="FooterChar"/>
    <w:uiPriority w:val="99"/>
    <w:unhideWhenUsed/>
    <w:rsid w:val="00344F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F18"/>
    <w:rPr>
      <w:color w:val="4D4D4D"/>
    </w:rPr>
  </w:style>
  <w:style w:type="paragraph" w:styleId="NormalWeb">
    <w:name w:val="Normal (Web)"/>
    <w:basedOn w:val="Normal"/>
    <w:uiPriority w:val="99"/>
    <w:semiHidden/>
    <w:unhideWhenUsed/>
    <w:rsid w:val="00D95C14"/>
    <w:pPr>
      <w:spacing w:before="100" w:beforeAutospacing="1" w:after="100" w:afterAutospacing="1" w:line="240" w:lineRule="auto"/>
      <w:jc w:val="left"/>
    </w:pPr>
    <w:rPr>
      <w:rFonts w:ascii="Arial" w:eastAsia="Times New Roman" w:hAnsi="Arial" w:cs="Arial"/>
      <w:color w:val="auto"/>
      <w:kern w:val="0"/>
      <w:sz w:val="24"/>
      <w:szCs w:val="24"/>
      <w14:ligatures w14:val="none"/>
    </w:rPr>
  </w:style>
  <w:style w:type="character" w:customStyle="1" w:styleId="glossary-popover-trigger">
    <w:name w:val="glossary-popover-trigger"/>
    <w:basedOn w:val="DefaultParagraphFont"/>
    <w:rsid w:val="00D95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536459">
      <w:bodyDiv w:val="1"/>
      <w:marLeft w:val="0"/>
      <w:marRight w:val="0"/>
      <w:marTop w:val="0"/>
      <w:marBottom w:val="0"/>
      <w:divBdr>
        <w:top w:val="none" w:sz="0" w:space="0" w:color="auto"/>
        <w:left w:val="none" w:sz="0" w:space="0" w:color="auto"/>
        <w:bottom w:val="none" w:sz="0" w:space="0" w:color="auto"/>
        <w:right w:val="none" w:sz="0" w:space="0" w:color="auto"/>
      </w:divBdr>
      <w:divsChild>
        <w:div w:id="1209999343">
          <w:marLeft w:val="0"/>
          <w:marRight w:val="0"/>
          <w:marTop w:val="0"/>
          <w:marBottom w:val="0"/>
          <w:divBdr>
            <w:top w:val="none" w:sz="0" w:space="0" w:color="auto"/>
            <w:left w:val="none" w:sz="0" w:space="0" w:color="auto"/>
            <w:bottom w:val="none" w:sz="0" w:space="0" w:color="auto"/>
            <w:right w:val="none" w:sz="0" w:space="0" w:color="auto"/>
          </w:divBdr>
        </w:div>
        <w:div w:id="881753272">
          <w:marLeft w:val="0"/>
          <w:marRight w:val="0"/>
          <w:marTop w:val="0"/>
          <w:marBottom w:val="0"/>
          <w:divBdr>
            <w:top w:val="none" w:sz="0" w:space="0" w:color="auto"/>
            <w:left w:val="none" w:sz="0" w:space="0" w:color="auto"/>
            <w:bottom w:val="none" w:sz="0" w:space="0" w:color="auto"/>
            <w:right w:val="none" w:sz="0" w:space="0" w:color="auto"/>
          </w:divBdr>
        </w:div>
      </w:divsChild>
    </w:div>
    <w:div w:id="1840000252">
      <w:bodyDiv w:val="1"/>
      <w:marLeft w:val="0"/>
      <w:marRight w:val="0"/>
      <w:marTop w:val="0"/>
      <w:marBottom w:val="0"/>
      <w:divBdr>
        <w:top w:val="none" w:sz="0" w:space="0" w:color="auto"/>
        <w:left w:val="none" w:sz="0" w:space="0" w:color="auto"/>
        <w:bottom w:val="none" w:sz="0" w:space="0" w:color="auto"/>
        <w:right w:val="none" w:sz="0" w:space="0" w:color="auto"/>
      </w:divBdr>
    </w:div>
    <w:div w:id="209023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Craig Booth</cp:lastModifiedBy>
  <cp:revision>2</cp:revision>
  <dcterms:created xsi:type="dcterms:W3CDTF">2025-05-08T10:06:00Z</dcterms:created>
  <dcterms:modified xsi:type="dcterms:W3CDTF">2025-05-08T10:06:00Z</dcterms:modified>
</cp:coreProperties>
</file>